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6CFD5" w14:textId="77777777" w:rsidR="00CA5760" w:rsidRDefault="00CA5760" w:rsidP="00CA5760">
      <w:bookmarkStart w:id="0" w:name="_GoBack"/>
      <w:bookmarkEnd w:id="0"/>
      <w:proofErr w:type="spellStart"/>
      <w:r w:rsidRPr="00265A59">
        <w:rPr>
          <w:b/>
          <w:bCs/>
        </w:rPr>
        <w:t>Meerjaren</w:t>
      </w:r>
      <w:proofErr w:type="spellEnd"/>
      <w:r w:rsidRPr="00265A59">
        <w:rPr>
          <w:b/>
          <w:bCs/>
        </w:rPr>
        <w:t xml:space="preserve"> Beleidsplan Stichting Pape-Fonds 202</w:t>
      </w:r>
      <w:r>
        <w:rPr>
          <w:b/>
          <w:bCs/>
        </w:rPr>
        <w:t>4</w:t>
      </w:r>
      <w:r w:rsidRPr="00265A59">
        <w:rPr>
          <w:b/>
          <w:bCs/>
        </w:rPr>
        <w:t>-202</w:t>
      </w:r>
      <w:r>
        <w:rPr>
          <w:b/>
          <w:bCs/>
        </w:rPr>
        <w:t>6</w:t>
      </w:r>
      <w:r w:rsidRPr="00265A59">
        <w:rPr>
          <w:b/>
          <w:bCs/>
        </w:rPr>
        <w:t xml:space="preserve"> </w:t>
      </w:r>
    </w:p>
    <w:p w14:paraId="16F002EF" w14:textId="77777777" w:rsidR="00CA5760" w:rsidRDefault="00CA5760" w:rsidP="00CA5760"/>
    <w:p w14:paraId="10AD5B86" w14:textId="77777777" w:rsidR="00CA5760" w:rsidRPr="000A3D46" w:rsidRDefault="00CA5760" w:rsidP="00CA5760">
      <w:pPr>
        <w:pStyle w:val="Lijstalinea"/>
        <w:numPr>
          <w:ilvl w:val="0"/>
          <w:numId w:val="3"/>
        </w:numPr>
        <w:rPr>
          <w:b/>
          <w:bCs/>
        </w:rPr>
      </w:pPr>
      <w:r w:rsidRPr="000A3D46">
        <w:rPr>
          <w:b/>
          <w:bCs/>
        </w:rPr>
        <w:t xml:space="preserve">Inleiding </w:t>
      </w:r>
    </w:p>
    <w:p w14:paraId="659CEF35" w14:textId="77777777" w:rsidR="00CA5760" w:rsidRDefault="00CA5760" w:rsidP="00CA5760">
      <w:pPr>
        <w:pStyle w:val="Lijstalinea"/>
      </w:pPr>
      <w:r>
        <w:t xml:space="preserve">De Stichting Pape-Fonds is opgericht op 26 mei 1922, door de heer C.P.D. Pape. Het was zijn wens dat de opbrengst van zijn vermogen werd aangewend voor financiële hulp aan mensen, zonder onderscheid des persoons. Het Fonds kreeg het motto mee : Zeg niet tot uw naaste; “Kom eens weerom!” of “Morgen zal ik u geven“, terwijl gij het hebt (Spreuken 3:28). In dit beleidsplan beschrijven wij de doelen, de middelen en de criteria voor schenkingen, alsmede de werkwijze van het bureau en de rol van het bestuur. Het beleidsplan is verder uitgewerkt in de begroting. </w:t>
      </w:r>
    </w:p>
    <w:p w14:paraId="5091A1B0" w14:textId="77777777" w:rsidR="00CA5760" w:rsidRDefault="00CA5760" w:rsidP="00CA5760">
      <w:pPr>
        <w:pStyle w:val="Lijstalinea"/>
      </w:pPr>
    </w:p>
    <w:p w14:paraId="7DF4CA2E" w14:textId="77777777" w:rsidR="00CA5760" w:rsidRPr="000A3D46" w:rsidRDefault="00CA5760" w:rsidP="00CA5760">
      <w:pPr>
        <w:pStyle w:val="Lijstalinea"/>
        <w:numPr>
          <w:ilvl w:val="0"/>
          <w:numId w:val="3"/>
        </w:numPr>
        <w:rPr>
          <w:b/>
          <w:bCs/>
        </w:rPr>
      </w:pPr>
      <w:r w:rsidRPr="000A3D46">
        <w:rPr>
          <w:b/>
          <w:bCs/>
        </w:rPr>
        <w:t xml:space="preserve">Visie en karakter </w:t>
      </w:r>
    </w:p>
    <w:p w14:paraId="32FD4078" w14:textId="77777777" w:rsidR="00CA5760" w:rsidRDefault="00CA5760" w:rsidP="00CA5760">
      <w:pPr>
        <w:pStyle w:val="Lijstalinea"/>
      </w:pPr>
      <w:r>
        <w:t xml:space="preserve">Het Pape-Fonds helpt mensen die om wat voor reden dan ook behoefte hebben aan financiële ondersteuning. Het gaat daarbij doorgaans om urgente materiële noden voor algemene dagelijkse levensbehoeften en schulden. Het bestuur van het Pape-Fonds denkt dat eenmalige financiële hulp een bijdrage kan leveren aan het verbeteren van de levensomstandigheden van mensen. Indachtig de intenties van de oprichter heeft het bestuur een ruime opvatting van doelgroepen en voorzieningen. Nood neemt in verschillende tijden en in verschillende economische omstandigheden andere vormen aan. Voorzieningen die in de ene tijd gesubsidieerd worden, kunnen in een andere tijd verdwijnen. Naast de hulpverlening aan individuele mensen, ondersteunt het Pape-Fonds ook rechtspersonen die uitvoerend werken ten behoeve van de doelgroepen. Het gaat daarbij dan om activiteiten en voorzieningen die de doelgroepen ten goede komen. </w:t>
      </w:r>
    </w:p>
    <w:p w14:paraId="389F1BE1" w14:textId="77777777" w:rsidR="00CA5760" w:rsidRDefault="00CA5760" w:rsidP="00CA5760">
      <w:pPr>
        <w:pStyle w:val="Lijstalinea"/>
      </w:pPr>
    </w:p>
    <w:p w14:paraId="4AFD49E0" w14:textId="77777777" w:rsidR="00CA5760" w:rsidRDefault="00CA5760" w:rsidP="00CA5760">
      <w:pPr>
        <w:pStyle w:val="Lijstalinea"/>
      </w:pPr>
      <w:r>
        <w:t xml:space="preserve">Het Pape-Fonds is terughoudend in zijn opstelling naar buiten. Het fonds is vindbaar voor de doelgroepen en werkt samen met andere fondsen. Het Pape-Fonds doet schenkingen uit de opbrengst van het belegde vermogen en werft zelf geen fondsen. </w:t>
      </w:r>
    </w:p>
    <w:p w14:paraId="7207E69F" w14:textId="77777777" w:rsidR="00CA5760" w:rsidRDefault="00CA5760" w:rsidP="00CA5760">
      <w:pPr>
        <w:pStyle w:val="Lijstalinea"/>
      </w:pPr>
    </w:p>
    <w:p w14:paraId="34275035" w14:textId="77777777" w:rsidR="00CA5760" w:rsidRDefault="00CA5760" w:rsidP="00CA5760">
      <w:pPr>
        <w:pStyle w:val="Lijstalinea"/>
      </w:pPr>
      <w:r>
        <w:t xml:space="preserve">Het Pape-Fonds wil het grootste deel van het jaarlijkse budget benutten voor uitkeringen en is daarom ook qua organisatie bescheiden opgezet. Inzet is dat de kantoorkosten rond 0,5% van het vermogen blijven. </w:t>
      </w:r>
    </w:p>
    <w:p w14:paraId="633CD133" w14:textId="77777777" w:rsidR="00CA5760" w:rsidRDefault="00CA5760" w:rsidP="00CA5760">
      <w:pPr>
        <w:pStyle w:val="Lijstalinea"/>
      </w:pPr>
    </w:p>
    <w:p w14:paraId="2F328A77" w14:textId="77777777" w:rsidR="00CA5760" w:rsidRDefault="00CA5760" w:rsidP="00CA5760">
      <w:pPr>
        <w:pStyle w:val="Lijstalinea"/>
      </w:pPr>
      <w:r>
        <w:t xml:space="preserve">Het fonds heeft de Algemeen Nut Beogende Instelling (ANBI) status. </w:t>
      </w:r>
    </w:p>
    <w:p w14:paraId="40F6B126" w14:textId="77777777" w:rsidR="00CA5760" w:rsidRDefault="00CA5760" w:rsidP="00CA5760">
      <w:pPr>
        <w:pStyle w:val="Lijstalinea"/>
      </w:pPr>
    </w:p>
    <w:p w14:paraId="52F6E84E" w14:textId="77777777" w:rsidR="00CA5760" w:rsidRPr="000A3D46" w:rsidRDefault="00CA5760" w:rsidP="00CA5760">
      <w:pPr>
        <w:pStyle w:val="Lijstalinea"/>
        <w:numPr>
          <w:ilvl w:val="0"/>
          <w:numId w:val="3"/>
        </w:numPr>
        <w:rPr>
          <w:b/>
          <w:bCs/>
        </w:rPr>
      </w:pPr>
      <w:r w:rsidRPr="000A3D46">
        <w:rPr>
          <w:b/>
          <w:bCs/>
        </w:rPr>
        <w:t xml:space="preserve">Uitgangspunten vermogensbeheer </w:t>
      </w:r>
    </w:p>
    <w:p w14:paraId="653AC895" w14:textId="77777777" w:rsidR="00CA5760" w:rsidRDefault="00CA5760" w:rsidP="00CA5760">
      <w:pPr>
        <w:pStyle w:val="Lijstalinea"/>
      </w:pPr>
      <w:r>
        <w:t xml:space="preserve">Het beleid is erop gericht het vermogen van het Pape-Fonds waardevast in stand te houden en jaarlijks een optimaal rendement te genereren ten behoeve van de schenkingen. Begrotingsnormen worden gevolgd tenzij er gegronde redenen zijn tot afwijking hiervan. </w:t>
      </w:r>
    </w:p>
    <w:p w14:paraId="1B2DEA93" w14:textId="77777777" w:rsidR="00CA5760" w:rsidRDefault="00CA5760" w:rsidP="00CA5760">
      <w:pPr>
        <w:pStyle w:val="Lijstalinea"/>
      </w:pPr>
    </w:p>
    <w:p w14:paraId="4B8CD933" w14:textId="77777777" w:rsidR="00CA5760" w:rsidRDefault="00CA5760" w:rsidP="00CA5760">
      <w:pPr>
        <w:pStyle w:val="Lijstalinea"/>
      </w:pPr>
      <w:r>
        <w:t xml:space="preserve">Het bestuur laat zich, via de beleggingscommissie - minimaal bestaande uit de beide penningmeesters -  bij het beheer ondersteunen door een professionele externe adviseur (de bank). Uitgaande van de eerder door het bestuur in overleg met de bank vastgestelde verdeling van het vermogen over de verschillende beleggingscategorieën wordt op langere termijn een gemiddeld rendement op het vermogen aangenomen van 5%. Het risico in de beleggingsportefeuille mag daarbij een aanvaardbaar risico niet overschrijden. Binnen het beleggingsbeleid wil het bestuur, met handhaving van de </w:t>
      </w:r>
      <w:r>
        <w:lastRenderedPageBreak/>
        <w:t xml:space="preserve">rendementsdoelstelling, dat een groter wordend deel van de portefeuille duurzaam wordt belegd. Voor de komende periode wordt jaarlijks het gemiddelde aangenomen rendement op het vermogen, verminderd met het door het CBS gepubliceerde inflatiepercentage, beschikbaar gesteld voor de uitgaven van de stichting, zijnde bureaukosten en financiële ondersteuningen. Er is een mechanisme toegepast dat jaarlijkse schommelingen in het rendement egaliseert om zo te bereiken dat het jaarlijks voor uitkeringen beschikbare bedrag een stabiele ontwikkeling kent. Deze stabiliteit is belangrijk voor het realiseren van de doelstelling. </w:t>
      </w:r>
    </w:p>
    <w:p w14:paraId="75756486" w14:textId="77777777" w:rsidR="00CA5760" w:rsidRDefault="00CA5760" w:rsidP="00CA5760">
      <w:pPr>
        <w:pStyle w:val="Lijstalinea"/>
      </w:pPr>
    </w:p>
    <w:p w14:paraId="339E5135" w14:textId="77777777" w:rsidR="00CA5760" w:rsidRPr="000A3D46" w:rsidRDefault="00CA5760" w:rsidP="00CA5760">
      <w:pPr>
        <w:rPr>
          <w:b/>
          <w:bCs/>
        </w:rPr>
      </w:pPr>
      <w:r>
        <w:t xml:space="preserve">        </w:t>
      </w:r>
      <w:r w:rsidRPr="000A3D46">
        <w:rPr>
          <w:b/>
          <w:bCs/>
        </w:rPr>
        <w:t xml:space="preserve">4. </w:t>
      </w:r>
      <w:r w:rsidRPr="000A3D46">
        <w:rPr>
          <w:b/>
          <w:bCs/>
        </w:rPr>
        <w:tab/>
        <w:t xml:space="preserve">Criteria voor uitkering </w:t>
      </w:r>
    </w:p>
    <w:p w14:paraId="5B9E20B7" w14:textId="77777777" w:rsidR="00CA5760" w:rsidRPr="000A3D46" w:rsidRDefault="00CA5760" w:rsidP="00CA5760">
      <w:pPr>
        <w:pStyle w:val="Lijstalinea"/>
        <w:rPr>
          <w:i/>
          <w:iCs/>
        </w:rPr>
      </w:pPr>
      <w:r w:rsidRPr="000A3D46">
        <w:rPr>
          <w:i/>
          <w:iCs/>
        </w:rPr>
        <w:t xml:space="preserve">a. Natuurlijke personen </w:t>
      </w:r>
    </w:p>
    <w:p w14:paraId="5C59EABD" w14:textId="77777777" w:rsidR="00CA5760" w:rsidRDefault="00CA5760" w:rsidP="00CA5760">
      <w:pPr>
        <w:pStyle w:val="Lijstalinea"/>
      </w:pPr>
      <w:r>
        <w:t>Verreweg het grootste deel van het jaarlijks beschikbaar budget wordt aangewend voor individuele hulpverlening. De schenkingen aan natuurlijke personen zijn gericht op mensen, die om wat voor reden dan ook, in financiële problemen zijn geraakt. Het Pape-Fonds verleent financiële bijdragen tot een maximum van € 2000,-- per individuele aanvraag. Het gaat om mensen die in Nederland woonachtig zijn en een geldige verblijfstitel hebben. Aanvragen worden ingediend door professionele hulpverleners werkzaam bij maatschappelijk werkende instanties of andere eerste of tweedelijns hulpverlenings- en zorginstellingen. Daarnaast kunnen bewindvoerders aanvragen indienen mits zij zijn aangesloten bij één van de door het bestuur benoemde brancheverenigingen voor professionele bewindvoerders. De aanvraag gaat vergezeld van een sociale rapportage en wordt beoordeeld door de directeur van onze stichting. Het Pape-Fonds heeft een richtlijn  voor doelen die wel en niet in aanmerking komen voor een schenking. Het Pape-Fonds verstrekt in principe geen leningen. De criteria worden genoemd in de Uitgangspunten toekenningsbeleid particulieren, laatstelijk vastgesteld in juni 2023.</w:t>
      </w:r>
    </w:p>
    <w:p w14:paraId="008F41D6" w14:textId="77777777" w:rsidR="00CA5760" w:rsidRDefault="00CA5760" w:rsidP="00CA5760">
      <w:pPr>
        <w:pStyle w:val="Lijstalinea"/>
      </w:pPr>
    </w:p>
    <w:p w14:paraId="12DD54CF" w14:textId="77777777" w:rsidR="00CA5760" w:rsidRPr="000A3D46" w:rsidRDefault="00CA5760" w:rsidP="00CA5760">
      <w:pPr>
        <w:pStyle w:val="Lijstalinea"/>
        <w:rPr>
          <w:i/>
          <w:iCs/>
        </w:rPr>
      </w:pPr>
      <w:r w:rsidRPr="000A3D46">
        <w:rPr>
          <w:i/>
          <w:iCs/>
        </w:rPr>
        <w:t xml:space="preserve">b. Rechtspersonen </w:t>
      </w:r>
    </w:p>
    <w:p w14:paraId="500B472A" w14:textId="77777777" w:rsidR="00CA5760" w:rsidRDefault="00CA5760" w:rsidP="00CA5760">
      <w:pPr>
        <w:pStyle w:val="Lijstalinea"/>
      </w:pPr>
      <w:r>
        <w:t xml:space="preserve">Het Pape-Fonds verleent ook financiële bijdragen aan projecten, tot een maximum van € 2000,-  per aanvraag behoudens bijzondere giften. Het gaat hier om rechtspersonen die gericht zijn op hulpverlening aan individuele mensen of specifieke doelgroepen die extra zorg nodig hebben. In de komende periode worden onder meer schenkingen gedaan aan rechtspersonen die vakantiekampen en -activiteiten voor kwetsbare groepen organiseren. Afhankelijk van het beschikbare budget worden ook andere rechtspersonen ondersteund. </w:t>
      </w:r>
    </w:p>
    <w:p w14:paraId="5BB603EA" w14:textId="77777777" w:rsidR="00CA5760" w:rsidRDefault="00CA5760" w:rsidP="00CA5760">
      <w:pPr>
        <w:pStyle w:val="Lijstalinea"/>
      </w:pPr>
    </w:p>
    <w:p w14:paraId="70C10E82" w14:textId="77777777" w:rsidR="00CA5760" w:rsidRPr="000A3D46" w:rsidRDefault="00CA5760" w:rsidP="00CA5760">
      <w:pPr>
        <w:pStyle w:val="Lijstalinea"/>
        <w:numPr>
          <w:ilvl w:val="0"/>
          <w:numId w:val="2"/>
        </w:numPr>
        <w:rPr>
          <w:b/>
          <w:bCs/>
        </w:rPr>
      </w:pPr>
      <w:r w:rsidRPr="000A3D46">
        <w:rPr>
          <w:b/>
          <w:bCs/>
        </w:rPr>
        <w:t xml:space="preserve">Bureau </w:t>
      </w:r>
    </w:p>
    <w:p w14:paraId="39567DA6" w14:textId="77777777" w:rsidR="00CA5760" w:rsidRPr="009B0910" w:rsidRDefault="00CA5760" w:rsidP="00CA5760">
      <w:pPr>
        <w:pStyle w:val="Lijstalinea"/>
        <w:rPr>
          <w:rFonts w:ascii="Verdana" w:hAnsi="Verdana"/>
          <w:sz w:val="20"/>
          <w:szCs w:val="20"/>
        </w:rPr>
      </w:pPr>
      <w:r>
        <w:t xml:space="preserve">Het bureau bestaat uit een directeur en een administratief medewerkster. De financiële administratie en de salarisadministratie zijn uitbesteed. De directeur beoordeelt de aanvragen en adviseert het bestuur over het te nemen besluit of neemt het besluit binnen het door het bestuur toegekende mandaat waarbij altijd -uit hoofde van het vier ogen principe- de daartoe aangewezen bestuursleden de toekenning en betaling accorderen. Het Bureau handelt na fiattering door het bestuur de correspondentie en betalingen af. </w:t>
      </w:r>
    </w:p>
    <w:p w14:paraId="461F1CDA" w14:textId="77777777" w:rsidR="00CA5760" w:rsidRPr="009B0910" w:rsidRDefault="00CA5760" w:rsidP="00CA5760">
      <w:pPr>
        <w:pStyle w:val="Lijstalinea"/>
        <w:rPr>
          <w:rFonts w:ascii="Verdana" w:hAnsi="Verdana"/>
          <w:sz w:val="20"/>
          <w:szCs w:val="20"/>
        </w:rPr>
      </w:pPr>
    </w:p>
    <w:p w14:paraId="32A29EFA" w14:textId="77777777" w:rsidR="00CA5760" w:rsidRPr="000A3D46" w:rsidRDefault="00CA5760" w:rsidP="00CA5760">
      <w:pPr>
        <w:pStyle w:val="Lijstalinea"/>
        <w:numPr>
          <w:ilvl w:val="0"/>
          <w:numId w:val="1"/>
        </w:numPr>
        <w:rPr>
          <w:rFonts w:ascii="Verdana" w:hAnsi="Verdana"/>
          <w:b/>
          <w:bCs/>
          <w:sz w:val="20"/>
          <w:szCs w:val="20"/>
        </w:rPr>
      </w:pPr>
      <w:r w:rsidRPr="000A3D46">
        <w:rPr>
          <w:b/>
          <w:bCs/>
        </w:rPr>
        <w:t xml:space="preserve">Bestuur </w:t>
      </w:r>
    </w:p>
    <w:p w14:paraId="23B9B71C" w14:textId="77777777" w:rsidR="00CA5760" w:rsidRDefault="00CA5760" w:rsidP="00CA5760">
      <w:pPr>
        <w:pStyle w:val="Lijstalinea"/>
      </w:pPr>
      <w:r>
        <w:t xml:space="preserve">Het bestuur wordt via coöptatie samengesteld. </w:t>
      </w:r>
    </w:p>
    <w:p w14:paraId="26B2824B" w14:textId="77777777" w:rsidR="00CA5760" w:rsidRDefault="00CA5760" w:rsidP="00CA5760">
      <w:pPr>
        <w:pStyle w:val="Lijstalinea"/>
      </w:pPr>
      <w:r>
        <w:lastRenderedPageBreak/>
        <w:t xml:space="preserve">Bestuursleden beschikken niet over het vermogen respectievelijk de inkomsten van het vermogen, alsof het hun vermogen is respectievelijk hun inkomsten zijn. De bestuursleden ontvangen geen vergoeding voor hun werkzaamheden. De bestuursleden ontvangen een algemene onkostenvergoeding van € 100,- per jaar en voorts uitsluitend een onkostenvergoeding voor daadwerkelijk door hen gemaakte kosten op basis van ingediende bonnen of facturen. Het bestuur evalueert regelmatig de gang van zaken rond uitvoering van het beleidsplan aan de hand van de FIN-criteria voor goed bestuur van fondsorganisaties. Eenmaal per jaar staat dit onderwerp op de agenda. </w:t>
      </w:r>
    </w:p>
    <w:p w14:paraId="293D37E9" w14:textId="77777777" w:rsidR="00CA5760" w:rsidRDefault="00CA5760" w:rsidP="00CA5760">
      <w:pPr>
        <w:pStyle w:val="Lijstalinea"/>
      </w:pPr>
    </w:p>
    <w:p w14:paraId="2C96B61E" w14:textId="77777777" w:rsidR="00CA5760" w:rsidRDefault="00CA5760" w:rsidP="00CA5760">
      <w:pPr>
        <w:pStyle w:val="Lijstalinea"/>
      </w:pPr>
      <w:r>
        <w:t xml:space="preserve">Het Bestuur bespreekt en evalueert de bestuurstaken van de leden van het Bestuur in de Bestuursvergadering. Dit onderwerp wordt minimaal eenmaal per jaar geagendeerd. </w:t>
      </w:r>
    </w:p>
    <w:p w14:paraId="2CD579E3" w14:textId="77777777" w:rsidR="00CA5760" w:rsidRDefault="00CA5760" w:rsidP="00CA5760">
      <w:pPr>
        <w:pStyle w:val="Lijstalinea"/>
      </w:pPr>
    </w:p>
    <w:p w14:paraId="14B1BCE7" w14:textId="77777777" w:rsidR="00CA5760" w:rsidRDefault="00CA5760" w:rsidP="00CA5760">
      <w:pPr>
        <w:pStyle w:val="Lijstalinea"/>
      </w:pPr>
      <w:r>
        <w:t xml:space="preserve">Eenmaal per jaar evalueren de bestuursleden het eigen functioneren in een bestuursvergadering (voorjaarsoverleg). </w:t>
      </w:r>
    </w:p>
    <w:p w14:paraId="01A8AFAE" w14:textId="77777777" w:rsidR="00CA5760" w:rsidRDefault="00CA5760" w:rsidP="00CA5760">
      <w:pPr>
        <w:pStyle w:val="Lijstalinea"/>
      </w:pPr>
    </w:p>
    <w:p w14:paraId="3F685DCF" w14:textId="77777777" w:rsidR="00CA5760" w:rsidRPr="000A3D46" w:rsidRDefault="00CA5760" w:rsidP="00CA5760">
      <w:pPr>
        <w:pStyle w:val="Lijstalinea"/>
        <w:numPr>
          <w:ilvl w:val="0"/>
          <w:numId w:val="1"/>
        </w:numPr>
        <w:rPr>
          <w:rFonts w:ascii="Verdana" w:hAnsi="Verdana"/>
          <w:b/>
          <w:bCs/>
          <w:sz w:val="20"/>
          <w:szCs w:val="20"/>
        </w:rPr>
      </w:pPr>
      <w:r w:rsidRPr="000A3D46">
        <w:rPr>
          <w:b/>
          <w:bCs/>
        </w:rPr>
        <w:t xml:space="preserve">Verstrengeling van belangen </w:t>
      </w:r>
    </w:p>
    <w:p w14:paraId="21E39F80" w14:textId="77777777" w:rsidR="00CA5760" w:rsidRDefault="00CA5760" w:rsidP="00CA5760">
      <w:pPr>
        <w:pStyle w:val="Lijstalinea"/>
      </w:pPr>
      <w:r>
        <w:t xml:space="preserve">Het bestuur houdt een actuele lijst bij van nevenfuncties van de bestuursleden en personeel en waakt tegen elke vorm van belangenverstrengeling van bestuursleden en personeel die de uitoefening van hun taak kunnen beïnvloeden. Een bestuurslid met een (potentieel) tegenstrijdig belang doet hiervan melding aan de voorzitter en andere leden van het bestuur onder vermelding van alle relevante informatie. Het bestuur beslist of er sprake is van een tegenstrijdig belang. Het bestuurslid dat een mogelijk tegenstrijdig belang heeft, neem niet deel aan de beraadslaging en besluitvorming hierover in het bestuur. </w:t>
      </w:r>
    </w:p>
    <w:p w14:paraId="346AB383" w14:textId="77777777" w:rsidR="00CA5760" w:rsidRDefault="00CA5760" w:rsidP="00CA5760">
      <w:pPr>
        <w:pStyle w:val="Lijstalinea"/>
      </w:pPr>
    </w:p>
    <w:p w14:paraId="7C758366" w14:textId="77777777" w:rsidR="00CA5760" w:rsidRPr="000A3D46" w:rsidRDefault="00CA5760" w:rsidP="00CA5760">
      <w:pPr>
        <w:pStyle w:val="Lijstalinea"/>
        <w:numPr>
          <w:ilvl w:val="0"/>
          <w:numId w:val="1"/>
        </w:numPr>
        <w:rPr>
          <w:rFonts w:ascii="Verdana" w:hAnsi="Verdana"/>
          <w:b/>
          <w:bCs/>
          <w:sz w:val="20"/>
          <w:szCs w:val="20"/>
        </w:rPr>
      </w:pPr>
      <w:r w:rsidRPr="000A3D46">
        <w:rPr>
          <w:b/>
          <w:bCs/>
        </w:rPr>
        <w:t xml:space="preserve">Communicatie </w:t>
      </w:r>
    </w:p>
    <w:p w14:paraId="433EE5F4" w14:textId="77777777" w:rsidR="00CA5760" w:rsidRDefault="00CA5760" w:rsidP="00CA5760">
      <w:pPr>
        <w:pStyle w:val="Lijstalinea"/>
      </w:pPr>
      <w:r>
        <w:t xml:space="preserve">Het Pape-Fonds heeft een website (www.papefonds.nl), is vindbaar via Het Fondsenboek en heeft door een lange geschiedenis van hulpverlening een goed netwerk opgebouwd met veel hulpverlenende instellingen in Nederland. Het Pape-Fonds maakt een jaarverslag. </w:t>
      </w:r>
    </w:p>
    <w:p w14:paraId="5F088BE5" w14:textId="77777777" w:rsidR="00CA5760" w:rsidRDefault="00CA5760" w:rsidP="00CA5760">
      <w:pPr>
        <w:pStyle w:val="Lijstalinea"/>
      </w:pPr>
    </w:p>
    <w:p w14:paraId="65EBAA41" w14:textId="77777777" w:rsidR="00CA5760" w:rsidRPr="000A3D46" w:rsidRDefault="00CA5760" w:rsidP="00CA5760">
      <w:pPr>
        <w:pStyle w:val="Lijstalinea"/>
        <w:numPr>
          <w:ilvl w:val="0"/>
          <w:numId w:val="1"/>
        </w:numPr>
        <w:rPr>
          <w:rFonts w:ascii="Verdana" w:hAnsi="Verdana"/>
          <w:b/>
          <w:bCs/>
          <w:sz w:val="20"/>
          <w:szCs w:val="20"/>
        </w:rPr>
      </w:pPr>
      <w:r w:rsidRPr="000A3D46">
        <w:rPr>
          <w:b/>
          <w:bCs/>
        </w:rPr>
        <w:t xml:space="preserve">Samenwerken </w:t>
      </w:r>
    </w:p>
    <w:p w14:paraId="1CEF6631" w14:textId="77777777" w:rsidR="00CA5760" w:rsidRDefault="00CA5760" w:rsidP="00CA5760">
      <w:pPr>
        <w:pStyle w:val="Lijstalinea"/>
      </w:pPr>
      <w:r>
        <w:t>De Stichting Pape-Fonds werkt samen met andere fondsen in de brancheorganisatie FIN (Fondsen in Nederland) en in het informele verband van het HAFO (Haags Fondsenoverleg). In Den Haag werkt het Pape-Fonds samen met de Sociale Fondsen Den Haag (voorheen Stichting Samenwerkende Sociale Fondsen). Het Pape-Fonds participeert in het Jeugdvakantieloket, een samenwerkingsverband van verschillende fondsen in de regio ten behoeve van kinderen die anders niet op vakantie kunnen of geen vakantieactiviteiten hebben. Het Pape-Fonds participeert in het platform Kleine Armoede Hulp, een fonds voor kleine initiatieven die zich inzetten in de strijd tegen armoede en eenzaamheid. Het Pape-Fonds heeft verder een samenwerkingsrelatie met de Stichting Sluyterman van Loo, een fonds voor ouderen.</w:t>
      </w:r>
    </w:p>
    <w:p w14:paraId="273032D4" w14:textId="77777777" w:rsidR="00CA5760" w:rsidRDefault="00CA5760" w:rsidP="00CA5760">
      <w:pPr>
        <w:pStyle w:val="Lijstalinea"/>
      </w:pPr>
    </w:p>
    <w:p w14:paraId="7F1ABE5C" w14:textId="77777777" w:rsidR="00CA5760" w:rsidRPr="005B77C6" w:rsidRDefault="00CA5760" w:rsidP="00CA5760">
      <w:pPr>
        <w:pStyle w:val="Lijstalinea"/>
        <w:numPr>
          <w:ilvl w:val="0"/>
          <w:numId w:val="1"/>
        </w:numPr>
        <w:rPr>
          <w:rFonts w:ascii="Verdana" w:hAnsi="Verdana"/>
          <w:b/>
          <w:bCs/>
          <w:sz w:val="20"/>
          <w:szCs w:val="20"/>
        </w:rPr>
      </w:pPr>
      <w:r w:rsidRPr="005B77C6">
        <w:rPr>
          <w:b/>
          <w:bCs/>
        </w:rPr>
        <w:t>Vereffening</w:t>
      </w:r>
    </w:p>
    <w:p w14:paraId="4005DD56" w14:textId="77777777" w:rsidR="00CA5760" w:rsidRPr="000A3D46" w:rsidRDefault="00CA5760" w:rsidP="00CA5760">
      <w:pPr>
        <w:pStyle w:val="Lijstalinea"/>
        <w:rPr>
          <w:rFonts w:ascii="Verdana" w:hAnsi="Verdana"/>
          <w:sz w:val="20"/>
          <w:szCs w:val="20"/>
        </w:rPr>
      </w:pPr>
      <w:r>
        <w:t>Bij eventuele ontbinding en vereffening van de Stichting zal een eventueel batig saldo worden uitgekeerd aan de Protestantse Gemeente te `</w:t>
      </w:r>
      <w:proofErr w:type="spellStart"/>
      <w:r>
        <w:t>s-Gravenhage</w:t>
      </w:r>
      <w:proofErr w:type="spellEnd"/>
      <w:r>
        <w:t xml:space="preserve"> of diens rechtsopvolger. </w:t>
      </w:r>
    </w:p>
    <w:p w14:paraId="3C6545A7" w14:textId="77777777" w:rsidR="00FE3439" w:rsidRPr="00FE3439" w:rsidRDefault="00FE3439">
      <w:pPr>
        <w:rPr>
          <w:rFonts w:ascii="Verdana" w:hAnsi="Verdana"/>
          <w:sz w:val="20"/>
          <w:szCs w:val="20"/>
        </w:rPr>
      </w:pPr>
    </w:p>
    <w:sectPr w:rsidR="00FE3439" w:rsidRPr="00FE3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C731E"/>
    <w:multiLevelType w:val="hybridMultilevel"/>
    <w:tmpl w:val="D794C5FC"/>
    <w:lvl w:ilvl="0" w:tplc="D9567AC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D51509"/>
    <w:multiLevelType w:val="hybridMultilevel"/>
    <w:tmpl w:val="A6CC7CDA"/>
    <w:lvl w:ilvl="0" w:tplc="DA18582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7645A9"/>
    <w:multiLevelType w:val="hybridMultilevel"/>
    <w:tmpl w:val="3E165B48"/>
    <w:lvl w:ilvl="0" w:tplc="C2B8A520">
      <w:start w:val="6"/>
      <w:numFmt w:val="decimal"/>
      <w:lvlText w:val="%1."/>
      <w:lvlJc w:val="left"/>
      <w:pPr>
        <w:ind w:left="720" w:hanging="360"/>
      </w:pPr>
      <w:rPr>
        <w:rFonts w:asciiTheme="minorHAnsi" w:hAnsiTheme="minorHAns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53452744">
    <w:abstractNumId w:val="2"/>
  </w:num>
  <w:num w:numId="2" w16cid:durableId="500390900">
    <w:abstractNumId w:val="1"/>
  </w:num>
  <w:num w:numId="3" w16cid:durableId="9595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60"/>
    <w:rsid w:val="00030C1E"/>
    <w:rsid w:val="008E0172"/>
    <w:rsid w:val="008F347A"/>
    <w:rsid w:val="00CA5760"/>
    <w:rsid w:val="00FE34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78A4"/>
  <w15:chartTrackingRefBased/>
  <w15:docId w15:val="{8E38C307-6BCB-4ECF-B662-C6D62F7A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760"/>
    <w:rPr>
      <w:kern w:val="0"/>
      <w14:ligatures w14:val="none"/>
    </w:rPr>
  </w:style>
  <w:style w:type="paragraph" w:styleId="Kop1">
    <w:name w:val="heading 1"/>
    <w:basedOn w:val="Standaard"/>
    <w:next w:val="Standaard"/>
    <w:link w:val="Kop1Char"/>
    <w:uiPriority w:val="9"/>
    <w:qFormat/>
    <w:rsid w:val="00CA5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5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57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57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57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57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57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57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57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7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57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57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57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57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57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57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57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5760"/>
    <w:rPr>
      <w:rFonts w:eastAsiaTheme="majorEastAsia" w:cstheme="majorBidi"/>
      <w:color w:val="272727" w:themeColor="text1" w:themeTint="D8"/>
    </w:rPr>
  </w:style>
  <w:style w:type="paragraph" w:styleId="Titel">
    <w:name w:val="Title"/>
    <w:basedOn w:val="Standaard"/>
    <w:next w:val="Standaard"/>
    <w:link w:val="TitelChar"/>
    <w:uiPriority w:val="10"/>
    <w:qFormat/>
    <w:rsid w:val="00CA5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57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57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57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57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5760"/>
    <w:rPr>
      <w:i/>
      <w:iCs/>
      <w:color w:val="404040" w:themeColor="text1" w:themeTint="BF"/>
    </w:rPr>
  </w:style>
  <w:style w:type="paragraph" w:styleId="Lijstalinea">
    <w:name w:val="List Paragraph"/>
    <w:basedOn w:val="Standaard"/>
    <w:uiPriority w:val="34"/>
    <w:qFormat/>
    <w:rsid w:val="00CA5760"/>
    <w:pPr>
      <w:ind w:left="720"/>
      <w:contextualSpacing/>
    </w:pPr>
  </w:style>
  <w:style w:type="character" w:styleId="Intensievebenadrukking">
    <w:name w:val="Intense Emphasis"/>
    <w:basedOn w:val="Standaardalinea-lettertype"/>
    <w:uiPriority w:val="21"/>
    <w:qFormat/>
    <w:rsid w:val="00CA5760"/>
    <w:rPr>
      <w:i/>
      <w:iCs/>
      <w:color w:val="0F4761" w:themeColor="accent1" w:themeShade="BF"/>
    </w:rPr>
  </w:style>
  <w:style w:type="paragraph" w:styleId="Duidelijkcitaat">
    <w:name w:val="Intense Quote"/>
    <w:basedOn w:val="Standaard"/>
    <w:next w:val="Standaard"/>
    <w:link w:val="DuidelijkcitaatChar"/>
    <w:uiPriority w:val="30"/>
    <w:qFormat/>
    <w:rsid w:val="00CA5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5760"/>
    <w:rPr>
      <w:i/>
      <w:iCs/>
      <w:color w:val="0F4761" w:themeColor="accent1" w:themeShade="BF"/>
    </w:rPr>
  </w:style>
  <w:style w:type="character" w:styleId="Intensieveverwijzing">
    <w:name w:val="Intense Reference"/>
    <w:basedOn w:val="Standaardalinea-lettertype"/>
    <w:uiPriority w:val="32"/>
    <w:qFormat/>
    <w:rsid w:val="00CA5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3f7c78-1ea5-4805-a6fa-788c8eec6a4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9C40EC7131340858028D98F551E6D" ma:contentTypeVersion="14" ma:contentTypeDescription="Een nieuw document maken." ma:contentTypeScope="" ma:versionID="7dca32b924efad9df10f226a17a95378">
  <xsd:schema xmlns:xsd="http://www.w3.org/2001/XMLSchema" xmlns:xs="http://www.w3.org/2001/XMLSchema" xmlns:p="http://schemas.microsoft.com/office/2006/metadata/properties" xmlns:ns2="9d3f7c78-1ea5-4805-a6fa-788c8eec6a4a" xmlns:ns3="155ab964-4bc8-465d-8140-c398a9414384" targetNamespace="http://schemas.microsoft.com/office/2006/metadata/properties" ma:root="true" ma:fieldsID="b470c8d2d3688acae6f9e9e37062e731" ns2:_="" ns3:_="">
    <xsd:import namespace="9d3f7c78-1ea5-4805-a6fa-788c8eec6a4a"/>
    <xsd:import namespace="155ab964-4bc8-465d-8140-c398a941438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7c78-1ea5-4805-a6fa-788c8eec6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b674984-8613-48d7-b1c4-f5c7b8bcbc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ab964-4bc8-465d-8140-c398a941438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B95BD-7AE6-4E91-9C95-00448A693B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D4691F-B1D7-4FDC-ACBA-22A57E7C769D}">
  <ds:schemaRefs>
    <ds:schemaRef ds:uri="http://schemas.microsoft.com/sharepoint/v3/contenttype/forms"/>
  </ds:schemaRefs>
</ds:datastoreItem>
</file>

<file path=customXml/itemProps3.xml><?xml version="1.0" encoding="utf-8"?>
<ds:datastoreItem xmlns:ds="http://schemas.openxmlformats.org/officeDocument/2006/customXml" ds:itemID="{8C7F6CF6-90C7-4F0D-819A-9DA36E094705}"/>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7419</Characters>
  <Application>Microsoft Office Word</Application>
  <DocSecurity>0</DocSecurity>
  <Lines>61</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Van Kerkhof</dc:creator>
  <cp:keywords/>
  <dc:description/>
  <cp:lastModifiedBy>Ingeborg Van Kerkhof</cp:lastModifiedBy>
  <cp:revision>1</cp:revision>
  <dcterms:created xsi:type="dcterms:W3CDTF">2024-12-10T14:35:00Z</dcterms:created>
  <dcterms:modified xsi:type="dcterms:W3CDTF">2024-12-10T14:37:00Z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0x0101003109C40EC7131340858028D98F551E6D</vt:lpwstr>
  </property>
</Properties>
</file>